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eastAsia="宋体"/>
        </w:rPr>
      </w:pPr>
      <w:r>
        <w:rPr>
          <w:rFonts w:hint="eastAsia" w:ascii="宋体" w:eastAsia="宋体"/>
        </w:rPr>
        <w:t>A12087《返还商品、货物或者其他财产清单》</w:t>
      </w:r>
    </w:p>
    <w:p>
      <w:pPr>
        <w:pStyle w:val="9"/>
        <w:rPr>
          <w:color w:val="000000"/>
        </w:rPr>
      </w:pPr>
      <w:bookmarkStart w:id="0" w:name="_GoBack"/>
      <w:bookmarkEnd w:id="0"/>
      <w:r>
        <w:rPr>
          <w:rFonts w:hint="eastAsia"/>
          <w:b w:val="0"/>
          <w:bCs w:val="0"/>
          <w:color w:val="000000"/>
        </w:rPr>
        <w:t>返还商品、货物或者其他财产清单</w:t>
      </w:r>
    </w:p>
    <w:tbl>
      <w:tblPr>
        <w:tblStyle w:val="2"/>
        <w:tblW w:w="83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9"/>
        <w:gridCol w:w="902"/>
        <w:gridCol w:w="901"/>
        <w:gridCol w:w="901"/>
        <w:gridCol w:w="1082"/>
        <w:gridCol w:w="16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88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商品、货物或者</w:t>
            </w:r>
          </w:p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其他财产名称</w:t>
            </w:r>
          </w:p>
        </w:tc>
        <w:tc>
          <w:tcPr>
            <w:tcW w:w="90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90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90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08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68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合    计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88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人民币（大写）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10"/>
              <w:widowControl w:val="0"/>
              <w:spacing w:line="600" w:lineRule="atLeast"/>
              <w:ind w:left="425" w:hanging="42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pStyle w:val="10"/>
        <w:rPr>
          <w:color w:val="000000"/>
          <w:sz w:val="21"/>
          <w:szCs w:val="21"/>
        </w:rPr>
      </w:pPr>
      <w:r>
        <w:rPr>
          <w:color w:val="000000"/>
          <w:sz w:val="21"/>
          <w:szCs w:val="22"/>
        </w:rPr>
        <w:t> </w:t>
      </w:r>
    </w:p>
    <w:p>
      <w:pPr>
        <w:pStyle w:val="8"/>
        <w:rPr>
          <w:color w:val="000000"/>
          <w:szCs w:val="22"/>
        </w:rPr>
      </w:pP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税务机关（章）：                   被返还财物单位：（章）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经办人：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负责人：                           被返还财物单位经手人：</w:t>
      </w:r>
    </w:p>
    <w:p>
      <w:pPr>
        <w:pStyle w:val="8"/>
        <w:ind w:firstLine="4725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年    月    日</w:t>
      </w:r>
    </w:p>
    <w:p>
      <w:pPr>
        <w:pStyle w:val="6"/>
        <w:ind w:firstLine="422"/>
        <w:rPr>
          <w:rFonts w:hint="eastAsia" w:ascii="宋体" w:eastAsia="宋体"/>
        </w:rPr>
      </w:pPr>
      <w:r>
        <w:rPr>
          <w:rFonts w:hint="eastAsia" w:ascii="宋体" w:eastAsia="宋体"/>
        </w:rPr>
        <w:t>【表单说明】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1．本清单依据《中华人民共和国税收征收管理法》第三十七条、第三十八条、《中华人民共和国税收征收管理法实施细则》第六十八条设置。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2．适用范围：税务机关采取税收保全措施或者强制执行措施，纳税人缴纳了应纳税款、滞纳金后使用。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3．本清单为《解除税收保全措施决定书》（扣押/查封适用）附件。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4．本清单为A4竖式，一式二份，一份送被执行人，一份装入卷宗。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30866"/>
    <w:rsid w:val="0B43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_0"/>
    <w:basedOn w:val="5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2019-11-06T03:07:00Z</dcterms:created>
  <dc:creator>陈莉佳</dc:creator>
  <cp:lastModifiedBy>陈莉佳</cp:lastModifiedBy>
  <dcterms:modified xsi:type="dcterms:W3CDTF">2019-11-06T03:07:19Z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